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6ABF00C7"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335B11" w:rsidRPr="00335B11">
        <w:rPr>
          <w:rFonts w:ascii="Arial" w:hAnsi="Arial" w:cs="Arial"/>
          <w:b/>
          <w:bCs/>
          <w:sz w:val="28"/>
        </w:rPr>
        <w:t>R1-</w:t>
      </w:r>
      <w:r w:rsidR="00180683">
        <w:rPr>
          <w:rFonts w:ascii="Arial" w:hAnsi="Arial" w:cs="Arial"/>
          <w:b/>
          <w:bCs/>
          <w:sz w:val="28"/>
        </w:rPr>
        <w:t>166305</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2316FA42"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47204B">
        <w:rPr>
          <w:rFonts w:ascii="Arial" w:hAnsi="Arial" w:cs="Arial"/>
          <w:snapToGrid w:val="0"/>
          <w:sz w:val="24"/>
        </w:rPr>
        <w:t>11.2</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30AC1309"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180683">
        <w:rPr>
          <w:rFonts w:ascii="Arial" w:hAnsi="Arial" w:cs="Arial"/>
          <w:snapToGrid w:val="0"/>
          <w:sz w:val="24"/>
        </w:rPr>
        <w:t>Support of multicast</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26374BF9"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NB-IoT</w:t>
      </w:r>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0475DBC4"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180683">
        <w:rPr>
          <w:rFonts w:ascii="Times New Roman"/>
          <w:snapToGrid w:val="0"/>
          <w:kern w:val="0"/>
          <w:sz w:val="22"/>
          <w:szCs w:val="22"/>
          <w:lang w:val="en-GB"/>
        </w:rPr>
        <w:t>multicast in NB-IoT</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21C99EB9" w14:textId="23754D3A" w:rsidR="00180683" w:rsidRDefault="00180683" w:rsidP="001806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SC-PTM reception in idle mode</w:t>
      </w:r>
      <w:r>
        <w:rPr>
          <w:rFonts w:ascii="Arial" w:hAnsi="Arial" w:cs="Arial"/>
          <w:lang w:val="en-US"/>
        </w:rPr>
        <w:t xml:space="preserve"> and non-anchor PRB</w:t>
      </w:r>
    </w:p>
    <w:p w14:paraId="4EDAE7F6" w14:textId="5EB59010" w:rsidR="00180683" w:rsidRDefault="00180683" w:rsidP="00180683">
      <w:pPr>
        <w:pStyle w:val="LGTdoc1"/>
        <w:spacing w:beforeLines="0" w:before="120" w:after="220" w:afterAutospacing="0"/>
        <w:rPr>
          <w:b w:val="0"/>
          <w:sz w:val="22"/>
          <w:szCs w:val="22"/>
        </w:rPr>
      </w:pPr>
      <w:r w:rsidRPr="00C34876">
        <w:rPr>
          <w:b w:val="0"/>
          <w:sz w:val="22"/>
          <w:szCs w:val="22"/>
        </w:rPr>
        <w:t xml:space="preserve">For </w:t>
      </w:r>
      <w:r>
        <w:rPr>
          <w:b w:val="0"/>
          <w:sz w:val="22"/>
          <w:szCs w:val="22"/>
        </w:rPr>
        <w:t>NB-IoT</w:t>
      </w:r>
      <w:r>
        <w:rPr>
          <w:b w:val="0"/>
          <w:sz w:val="22"/>
          <w:szCs w:val="22"/>
        </w:rPr>
        <w:t xml:space="preserve"> [1] broadcast/multicast information is </w:t>
      </w:r>
      <w:r>
        <w:rPr>
          <w:b w:val="0"/>
          <w:sz w:val="22"/>
          <w:szCs w:val="22"/>
        </w:rPr>
        <w:t xml:space="preserve">proposed to be </w:t>
      </w:r>
      <w:r>
        <w:rPr>
          <w:b w:val="0"/>
          <w:sz w:val="22"/>
          <w:szCs w:val="22"/>
        </w:rPr>
        <w:t>delivered via SC-PTM. One of the main objectives of multicast is to deliver software updates to multiple devices, which may be not feasible to perform in an unicast way due to the large number of expected M2M devices in a given cell.</w:t>
      </w:r>
    </w:p>
    <w:p w14:paraId="3F01B085" w14:textId="0C94A7D2" w:rsidR="00180683" w:rsidRDefault="00180683" w:rsidP="00180683">
      <w:pPr>
        <w:pStyle w:val="LGTdoc1"/>
        <w:spacing w:beforeLines="0" w:before="120" w:after="220" w:afterAutospacing="0"/>
        <w:rPr>
          <w:b w:val="0"/>
          <w:sz w:val="22"/>
          <w:szCs w:val="22"/>
        </w:rPr>
      </w:pPr>
      <w:r>
        <w:rPr>
          <w:b w:val="0"/>
          <w:sz w:val="22"/>
          <w:szCs w:val="22"/>
        </w:rPr>
        <w:t xml:space="preserve">Due to the special characteristics of </w:t>
      </w:r>
      <w:r>
        <w:rPr>
          <w:b w:val="0"/>
          <w:sz w:val="22"/>
          <w:szCs w:val="22"/>
        </w:rPr>
        <w:t>NB-IoT</w:t>
      </w:r>
      <w:r>
        <w:rPr>
          <w:b w:val="0"/>
          <w:sz w:val="22"/>
          <w:szCs w:val="22"/>
        </w:rPr>
        <w:t>, it may also not be feasible to force the UEs to move to connected mode when receiving this information:</w:t>
      </w:r>
    </w:p>
    <w:p w14:paraId="3EDDA43A" w14:textId="4D990036" w:rsidR="00180683" w:rsidRPr="00C34876" w:rsidRDefault="00180683" w:rsidP="00180683">
      <w:pPr>
        <w:pStyle w:val="LGTdoc1"/>
        <w:numPr>
          <w:ilvl w:val="0"/>
          <w:numId w:val="11"/>
        </w:numPr>
        <w:spacing w:beforeLines="0" w:before="120" w:after="220" w:afterAutospacing="0"/>
        <w:rPr>
          <w:b w:val="0"/>
          <w:sz w:val="22"/>
          <w:szCs w:val="22"/>
          <w:u w:val="single"/>
        </w:rPr>
      </w:pPr>
      <w:r w:rsidRPr="00C34876">
        <w:rPr>
          <w:b w:val="0"/>
          <w:sz w:val="22"/>
          <w:szCs w:val="22"/>
          <w:u w:val="single"/>
        </w:rPr>
        <w:t>Massive number of devices:</w:t>
      </w:r>
      <w:r>
        <w:rPr>
          <w:b w:val="0"/>
          <w:sz w:val="22"/>
          <w:szCs w:val="22"/>
        </w:rPr>
        <w:t xml:space="preserve"> It is expected that to have a large number of </w:t>
      </w:r>
      <w:r>
        <w:rPr>
          <w:b w:val="0"/>
          <w:sz w:val="22"/>
          <w:szCs w:val="22"/>
        </w:rPr>
        <w:t>NB-IoT</w:t>
      </w:r>
      <w:r>
        <w:rPr>
          <w:b w:val="0"/>
          <w:sz w:val="22"/>
          <w:szCs w:val="22"/>
        </w:rPr>
        <w:t xml:space="preserve"> UEs in a given cell. Many of these UEs, however, have a very sparse duty cycle (e.g. one transmission per day), so the number of simultaneously connected UEs is expected to be much lower. Forcing all UEs in a cell to be connected when receiving multicast may be a bottleneck for the network and, therefore, is not recommended.</w:t>
      </w:r>
    </w:p>
    <w:p w14:paraId="57F20A9A" w14:textId="4F3CFA39" w:rsidR="00180683" w:rsidRPr="00C34876" w:rsidRDefault="00180683" w:rsidP="00180683">
      <w:pPr>
        <w:pStyle w:val="LGTdoc1"/>
        <w:numPr>
          <w:ilvl w:val="0"/>
          <w:numId w:val="11"/>
        </w:numPr>
        <w:spacing w:beforeLines="0" w:before="120" w:after="220" w:afterAutospacing="0"/>
        <w:rPr>
          <w:b w:val="0"/>
          <w:sz w:val="22"/>
          <w:szCs w:val="22"/>
          <w:u w:val="single"/>
        </w:rPr>
      </w:pPr>
      <w:r>
        <w:rPr>
          <w:b w:val="0"/>
          <w:sz w:val="22"/>
          <w:szCs w:val="22"/>
          <w:u w:val="single"/>
        </w:rPr>
        <w:t>Non-anchor PRB operation</w:t>
      </w:r>
      <w:r>
        <w:rPr>
          <w:b w:val="0"/>
          <w:sz w:val="22"/>
          <w:szCs w:val="22"/>
          <w:u w:val="single"/>
        </w:rPr>
        <w:t xml:space="preserve">: </w:t>
      </w:r>
      <w:r>
        <w:rPr>
          <w:b w:val="0"/>
          <w:sz w:val="22"/>
          <w:szCs w:val="22"/>
        </w:rPr>
        <w:t>Transmitting SC-PTM in the anchor PRB may result in blocking issues for connected mode UEs, as the NPDSCH may occupy a large number of resources.</w:t>
      </w:r>
      <w:r w:rsidR="00113AF5">
        <w:rPr>
          <w:b w:val="0"/>
          <w:sz w:val="22"/>
          <w:szCs w:val="22"/>
        </w:rPr>
        <w:t xml:space="preserve"> </w:t>
      </w:r>
    </w:p>
    <w:p w14:paraId="7B8DA55C" w14:textId="5F080C05" w:rsidR="00180683" w:rsidRPr="00C34876" w:rsidRDefault="00180683" w:rsidP="00180683">
      <w:pPr>
        <w:pStyle w:val="LGTdoc1"/>
        <w:spacing w:beforeLines="0" w:before="120" w:after="220" w:afterAutospacing="0"/>
        <w:rPr>
          <w:b w:val="0"/>
          <w:sz w:val="22"/>
          <w:szCs w:val="22"/>
        </w:rPr>
      </w:pPr>
      <w:r>
        <w:rPr>
          <w:b w:val="0"/>
          <w:sz w:val="22"/>
          <w:szCs w:val="22"/>
        </w:rPr>
        <w:t>A simple solution to these two issues is to enable idle mode reception of SC-PTM</w:t>
      </w:r>
      <w:r>
        <w:rPr>
          <w:b w:val="0"/>
          <w:sz w:val="22"/>
          <w:szCs w:val="22"/>
        </w:rPr>
        <w:t xml:space="preserve"> in non-anchor PRBs</w:t>
      </w:r>
      <w:r>
        <w:rPr>
          <w:b w:val="0"/>
          <w:sz w:val="22"/>
          <w:szCs w:val="22"/>
        </w:rPr>
        <w:t xml:space="preserve">, so that UEs do not need to be connected when receiving the multicast information, and also the </w:t>
      </w:r>
      <w:r w:rsidR="00113AF5">
        <w:rPr>
          <w:b w:val="0"/>
          <w:sz w:val="22"/>
          <w:szCs w:val="22"/>
        </w:rPr>
        <w:t>connected mode UEs in the anchor PRB are not blocked by the broadcast transmission.</w:t>
      </w:r>
    </w:p>
    <w:p w14:paraId="040DBE73" w14:textId="77777777" w:rsidR="00180683" w:rsidRDefault="00180683" w:rsidP="00180683">
      <w:pPr>
        <w:pStyle w:val="LGTdoc1"/>
        <w:spacing w:beforeLines="0" w:before="120" w:after="220" w:afterAutospacing="0"/>
        <w:rPr>
          <w:sz w:val="22"/>
          <w:szCs w:val="22"/>
        </w:rPr>
      </w:pPr>
      <w:r w:rsidRPr="00C34876">
        <w:rPr>
          <w:sz w:val="22"/>
          <w:szCs w:val="22"/>
          <w:u w:val="single"/>
        </w:rPr>
        <w:t>Proposal 1:</w:t>
      </w:r>
      <w:r>
        <w:rPr>
          <w:sz w:val="22"/>
          <w:szCs w:val="22"/>
        </w:rPr>
        <w:t xml:space="preserve"> Enable idle mode reception of SC-PTM</w:t>
      </w:r>
    </w:p>
    <w:p w14:paraId="40AE2C24" w14:textId="4E00933E" w:rsidR="00180683" w:rsidRPr="00C34876" w:rsidRDefault="00180683" w:rsidP="00180683">
      <w:pPr>
        <w:pStyle w:val="LGTdoc1"/>
        <w:spacing w:beforeLines="0" w:before="120" w:after="220" w:afterAutospacing="0"/>
        <w:rPr>
          <w:sz w:val="22"/>
          <w:szCs w:val="22"/>
        </w:rPr>
      </w:pPr>
      <w:r w:rsidRPr="00C34876">
        <w:rPr>
          <w:sz w:val="22"/>
          <w:szCs w:val="22"/>
          <w:u w:val="single"/>
        </w:rPr>
        <w:t xml:space="preserve">Proposal </w:t>
      </w:r>
      <w:r>
        <w:rPr>
          <w:sz w:val="22"/>
          <w:szCs w:val="22"/>
          <w:u w:val="single"/>
        </w:rPr>
        <w:t>2</w:t>
      </w:r>
      <w:r w:rsidRPr="00C34876">
        <w:rPr>
          <w:sz w:val="22"/>
          <w:szCs w:val="22"/>
          <w:u w:val="single"/>
        </w:rPr>
        <w:t>:</w:t>
      </w:r>
      <w:r>
        <w:rPr>
          <w:sz w:val="22"/>
          <w:szCs w:val="22"/>
        </w:rPr>
        <w:t xml:space="preserve"> Enable SC-PTM</w:t>
      </w:r>
      <w:r>
        <w:rPr>
          <w:sz w:val="22"/>
          <w:szCs w:val="22"/>
        </w:rPr>
        <w:t xml:space="preserve"> reception in non-anchor PRBs</w:t>
      </w:r>
    </w:p>
    <w:p w14:paraId="1701F203" w14:textId="77777777" w:rsidR="00180683" w:rsidRPr="00C34876" w:rsidRDefault="00180683" w:rsidP="00180683">
      <w:pPr>
        <w:pStyle w:val="LGTdoc1"/>
        <w:spacing w:beforeLines="0" w:before="120" w:after="220" w:afterAutospacing="0"/>
        <w:rPr>
          <w:sz w:val="22"/>
          <w:szCs w:val="22"/>
        </w:rPr>
      </w:pPr>
    </w:p>
    <w:p w14:paraId="1E4FF75A" w14:textId="77777777" w:rsidR="00180683" w:rsidRDefault="00180683" w:rsidP="00180683">
      <w:pPr>
        <w:pStyle w:val="LGTdoc0"/>
        <w:spacing w:afterLines="0" w:after="120" w:line="240" w:lineRule="auto"/>
        <w:rPr>
          <w:szCs w:val="22"/>
        </w:rPr>
      </w:pPr>
      <w:r>
        <w:rPr>
          <w:szCs w:val="22"/>
        </w:rPr>
        <w:t>Also, similarly to paging monitoring, a UE is not expected to monitor SC-PTM when in connected mode. In such a case, the eNB should release the RRC connection and move the UE to idle mode to enable this reception.</w:t>
      </w:r>
    </w:p>
    <w:p w14:paraId="7CD10CA9" w14:textId="38E58F6C" w:rsidR="00180683" w:rsidRPr="00C34876" w:rsidRDefault="00180683" w:rsidP="00180683">
      <w:pPr>
        <w:pStyle w:val="LGTdoc1"/>
        <w:spacing w:beforeLines="0" w:before="120" w:after="220" w:afterAutospacing="0"/>
        <w:rPr>
          <w:sz w:val="22"/>
          <w:szCs w:val="22"/>
        </w:rPr>
      </w:pPr>
      <w:r w:rsidRPr="00C34876">
        <w:rPr>
          <w:sz w:val="22"/>
          <w:szCs w:val="22"/>
          <w:u w:val="single"/>
        </w:rPr>
        <w:t xml:space="preserve">Proposal </w:t>
      </w:r>
      <w:r w:rsidR="00113AF5">
        <w:rPr>
          <w:sz w:val="22"/>
          <w:szCs w:val="22"/>
          <w:u w:val="single"/>
        </w:rPr>
        <w:t>3</w:t>
      </w:r>
      <w:r w:rsidRPr="00C34876">
        <w:rPr>
          <w:sz w:val="22"/>
          <w:szCs w:val="22"/>
          <w:u w:val="single"/>
        </w:rPr>
        <w:t>:</w:t>
      </w:r>
      <w:r>
        <w:rPr>
          <w:sz w:val="22"/>
          <w:szCs w:val="22"/>
        </w:rPr>
        <w:t xml:space="preserve"> Similarly to paging monitoring, a UE is not expected to receive SC-PTM while in connected mode. The eNB should release the connection to enable this monitoring.</w:t>
      </w:r>
    </w:p>
    <w:p w14:paraId="7ADFAED8" w14:textId="77777777" w:rsidR="00180683" w:rsidRDefault="00180683" w:rsidP="00180683">
      <w:pPr>
        <w:pStyle w:val="LGTdoc0"/>
        <w:spacing w:afterLines="0" w:after="120" w:line="240" w:lineRule="auto"/>
        <w:rPr>
          <w:szCs w:val="22"/>
        </w:rPr>
      </w:pPr>
    </w:p>
    <w:p w14:paraId="7243939F" w14:textId="77777777" w:rsidR="00180683" w:rsidRDefault="00180683" w:rsidP="00180683">
      <w:pPr>
        <w:pStyle w:val="LGTdoc0"/>
        <w:spacing w:afterLines="0" w:after="120" w:line="240" w:lineRule="auto"/>
        <w:rPr>
          <w:szCs w:val="22"/>
        </w:rPr>
      </w:pPr>
    </w:p>
    <w:p w14:paraId="52C216D9" w14:textId="77777777" w:rsidR="00113AF5" w:rsidRPr="00111B9A" w:rsidRDefault="00113AF5" w:rsidP="00180683">
      <w:pPr>
        <w:pStyle w:val="LGTdoc0"/>
        <w:spacing w:afterLines="0" w:after="120" w:line="240" w:lineRule="auto"/>
        <w:rPr>
          <w:szCs w:val="22"/>
        </w:rPr>
      </w:pPr>
    </w:p>
    <w:p w14:paraId="25831E0B" w14:textId="77777777" w:rsidR="00180683" w:rsidRDefault="00180683" w:rsidP="001806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Control vs control-less reception of SC-PTM</w:t>
      </w:r>
    </w:p>
    <w:p w14:paraId="32245966" w14:textId="0A6911B6" w:rsidR="00180683" w:rsidRDefault="00180683" w:rsidP="00180683">
      <w:pPr>
        <w:pStyle w:val="LGTdoc1"/>
        <w:spacing w:beforeLines="0" w:before="120" w:after="220" w:afterAutospacing="0"/>
        <w:rPr>
          <w:b w:val="0"/>
          <w:sz w:val="22"/>
          <w:szCs w:val="22"/>
        </w:rPr>
      </w:pPr>
      <w:r>
        <w:rPr>
          <w:b w:val="0"/>
          <w:sz w:val="22"/>
          <w:szCs w:val="22"/>
        </w:rPr>
        <w:t xml:space="preserve">In legacy LTE, SC-PTM is achieved by monitoring PDCCH scrambled by G-RNTI, which schedules the corresponding PDSCH. While this procedure offers some flexibility, it has some problems when applied to </w:t>
      </w:r>
      <w:r w:rsidR="00113AF5">
        <w:rPr>
          <w:b w:val="0"/>
          <w:sz w:val="22"/>
          <w:szCs w:val="22"/>
        </w:rPr>
        <w:t>NB-IoT</w:t>
      </w:r>
      <w:r>
        <w:rPr>
          <w:b w:val="0"/>
          <w:sz w:val="22"/>
          <w:szCs w:val="22"/>
        </w:rPr>
        <w:t xml:space="preserve"> UEs:</w:t>
      </w:r>
    </w:p>
    <w:p w14:paraId="3A98D60C" w14:textId="2F98E955" w:rsidR="00180683" w:rsidRPr="005142E4" w:rsidRDefault="00180683" w:rsidP="00180683">
      <w:pPr>
        <w:pStyle w:val="LGTdoc1"/>
        <w:numPr>
          <w:ilvl w:val="0"/>
          <w:numId w:val="11"/>
        </w:numPr>
        <w:spacing w:beforeLines="0" w:before="120" w:after="220" w:afterAutospacing="0"/>
        <w:rPr>
          <w:rFonts w:ascii="Arial" w:hAnsi="Arial" w:cs="Arial"/>
          <w:u w:val="single"/>
          <w:lang w:val="en-US"/>
        </w:rPr>
      </w:pPr>
      <w:r>
        <w:rPr>
          <w:b w:val="0"/>
          <w:sz w:val="22"/>
          <w:szCs w:val="22"/>
          <w:u w:val="single"/>
        </w:rPr>
        <w:t>Cross-subframe scheduling:</w:t>
      </w:r>
      <w:r>
        <w:rPr>
          <w:b w:val="0"/>
          <w:sz w:val="22"/>
          <w:szCs w:val="22"/>
        </w:rPr>
        <w:t xml:space="preserve"> In LTE a PDCCH in subframe N schedules a PDSCH in subframe N. Thus, the processing of PDCCH does not incur in any additional timing, and offers some flexibility to adjust the resources and/or TBS. In </w:t>
      </w:r>
      <w:r w:rsidR="00113AF5">
        <w:rPr>
          <w:b w:val="0"/>
          <w:sz w:val="22"/>
          <w:szCs w:val="22"/>
        </w:rPr>
        <w:t>NB-IoT</w:t>
      </w:r>
      <w:r>
        <w:rPr>
          <w:b w:val="0"/>
          <w:sz w:val="22"/>
          <w:szCs w:val="22"/>
        </w:rPr>
        <w:t xml:space="preserve">, however, </w:t>
      </w:r>
      <w:r w:rsidR="00113AF5">
        <w:rPr>
          <w:b w:val="0"/>
          <w:sz w:val="22"/>
          <w:szCs w:val="22"/>
        </w:rPr>
        <w:t>NPDSCH is cross-subframe scheduled, and a guard interval between NPDSCH and NPDCCH is left for the UE to perform NPDCCH decoding. This overhead can be greatly reduced if SC-PTM is semi-statically scheduled (e.g. without SIB). Some separation may be left between consecutive NPDSCH to allow for sequential decoding and keep a low UE complexity.</w:t>
      </w:r>
    </w:p>
    <w:p w14:paraId="14586720" w14:textId="2C8E660B" w:rsidR="00180683" w:rsidRPr="006225AA" w:rsidRDefault="00180683" w:rsidP="00180683">
      <w:pPr>
        <w:pStyle w:val="LGTdoc1"/>
        <w:numPr>
          <w:ilvl w:val="0"/>
          <w:numId w:val="11"/>
        </w:numPr>
        <w:spacing w:beforeLines="0" w:before="120" w:after="220" w:afterAutospacing="0"/>
        <w:rPr>
          <w:rFonts w:ascii="Arial" w:hAnsi="Arial" w:cs="Arial"/>
          <w:u w:val="single"/>
          <w:lang w:val="en-US"/>
        </w:rPr>
      </w:pPr>
      <w:r>
        <w:rPr>
          <w:b w:val="0"/>
          <w:sz w:val="22"/>
          <w:szCs w:val="22"/>
          <w:u w:val="single"/>
          <w:lang w:val="en-US"/>
        </w:rPr>
        <w:t xml:space="preserve">Use case: </w:t>
      </w:r>
      <w:r>
        <w:rPr>
          <w:b w:val="0"/>
          <w:sz w:val="22"/>
          <w:szCs w:val="22"/>
          <w:lang w:val="en-US"/>
        </w:rPr>
        <w:t xml:space="preserve">The typical use case of broadcasting/multicast in LTE is multimedia reception. Depending on the used codec, the multimedia content may have variable bitrate, and thus it is beneficial to have the flexibility at the physical layer to change the TBS/scheduling accordingly. For </w:t>
      </w:r>
      <w:r w:rsidR="00113AF5">
        <w:rPr>
          <w:b w:val="0"/>
          <w:sz w:val="22"/>
          <w:szCs w:val="22"/>
          <w:lang w:val="en-US"/>
        </w:rPr>
        <w:t>NB-IoT</w:t>
      </w:r>
      <w:r>
        <w:rPr>
          <w:b w:val="0"/>
          <w:sz w:val="22"/>
          <w:szCs w:val="22"/>
          <w:lang w:val="en-US"/>
        </w:rPr>
        <w:t xml:space="preserve">, the typical use case is expected to be the delivery of a software update, so the network can calculate beforehand the </w:t>
      </w:r>
      <w:r w:rsidR="00113AF5">
        <w:rPr>
          <w:b w:val="0"/>
          <w:sz w:val="22"/>
          <w:szCs w:val="22"/>
          <w:lang w:val="en-US"/>
        </w:rPr>
        <w:t>MCS</w:t>
      </w:r>
      <w:r>
        <w:rPr>
          <w:b w:val="0"/>
          <w:sz w:val="22"/>
          <w:szCs w:val="22"/>
          <w:lang w:val="en-US"/>
        </w:rPr>
        <w:t xml:space="preserve">, TBS, repetitions, etc. needed for its delivery. </w:t>
      </w:r>
    </w:p>
    <w:bookmarkStart w:id="2" w:name="_GoBack"/>
    <w:bookmarkEnd w:id="2"/>
    <w:p w14:paraId="1E78E528" w14:textId="2556C15B" w:rsidR="00180683" w:rsidRDefault="006225AA" w:rsidP="00180683">
      <w:pPr>
        <w:pStyle w:val="LGTdoc1"/>
        <w:keepNext/>
        <w:spacing w:beforeLines="0" w:before="120" w:after="220" w:afterAutospacing="0"/>
        <w:jc w:val="center"/>
        <w:rPr>
          <w:rFonts w:ascii="Arial" w:hAnsi="Arial" w:cs="Arial"/>
          <w:lang w:val="en-US"/>
        </w:rPr>
      </w:pPr>
      <w:r>
        <w:rPr>
          <w:rFonts w:ascii="Arial" w:hAnsi="Arial" w:cs="Arial"/>
          <w:lang w:val="en-US"/>
        </w:rPr>
        <w:object w:dxaOrig="14532" w:dyaOrig="8765" w14:anchorId="60C28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05pt;height:307.9pt" o:ole="">
            <v:imagedata r:id="rId14" o:title=""/>
          </v:shape>
          <o:OLEObject Type="Embed" ProgID="Visio.Drawing.11" ShapeID="_x0000_i1025" DrawAspect="Content" ObjectID="_1532453096" r:id="rId15"/>
        </w:object>
      </w:r>
      <w:r w:rsidR="00180683" w:rsidRPr="00BB5BCC">
        <w:rPr>
          <w:sz w:val="16"/>
        </w:rPr>
        <w:t xml:space="preserve">Figure </w:t>
      </w:r>
      <w:r w:rsidR="00180683" w:rsidRPr="00BB5BCC">
        <w:rPr>
          <w:sz w:val="16"/>
        </w:rPr>
        <w:fldChar w:fldCharType="begin"/>
      </w:r>
      <w:r w:rsidR="00180683" w:rsidRPr="00BB5BCC">
        <w:rPr>
          <w:sz w:val="16"/>
        </w:rPr>
        <w:instrText xml:space="preserve"> SEQ Figure \* ARABIC </w:instrText>
      </w:r>
      <w:r w:rsidR="00180683" w:rsidRPr="00BB5BCC">
        <w:rPr>
          <w:sz w:val="16"/>
        </w:rPr>
        <w:fldChar w:fldCharType="separate"/>
      </w:r>
      <w:r w:rsidR="00180683">
        <w:rPr>
          <w:noProof/>
          <w:sz w:val="16"/>
        </w:rPr>
        <w:t>1</w:t>
      </w:r>
      <w:r w:rsidR="00180683" w:rsidRPr="00BB5BCC">
        <w:rPr>
          <w:sz w:val="16"/>
        </w:rPr>
        <w:fldChar w:fldCharType="end"/>
      </w:r>
      <w:r w:rsidR="00180683" w:rsidRPr="00BB5BCC">
        <w:rPr>
          <w:sz w:val="16"/>
        </w:rPr>
        <w:t xml:space="preserve"> Comparison of LTE SC-PTM, eMTC with MPDCCH, and control-less operation.</w:t>
      </w:r>
    </w:p>
    <w:p w14:paraId="44D84081" w14:textId="1A5935D6" w:rsidR="00180683" w:rsidRDefault="00180683" w:rsidP="00180683">
      <w:pPr>
        <w:pStyle w:val="LGTdoc1"/>
        <w:spacing w:beforeLines="0" w:before="120" w:after="220" w:afterAutospacing="0"/>
        <w:rPr>
          <w:b w:val="0"/>
          <w:sz w:val="22"/>
          <w:szCs w:val="22"/>
        </w:rPr>
      </w:pPr>
      <w:r>
        <w:rPr>
          <w:b w:val="0"/>
          <w:sz w:val="22"/>
          <w:szCs w:val="22"/>
        </w:rPr>
        <w:t xml:space="preserve">In view of these issues, we propose to introduce control-less SC-PTM for </w:t>
      </w:r>
      <w:r w:rsidR="00113AF5">
        <w:rPr>
          <w:b w:val="0"/>
          <w:sz w:val="22"/>
          <w:szCs w:val="22"/>
        </w:rPr>
        <w:t>NB-IoT</w:t>
      </w:r>
      <w:r>
        <w:rPr>
          <w:b w:val="0"/>
          <w:sz w:val="22"/>
          <w:szCs w:val="22"/>
        </w:rPr>
        <w:t>. The necessary parameters (</w:t>
      </w:r>
      <w:r w:rsidR="00113AF5">
        <w:rPr>
          <w:b w:val="0"/>
          <w:sz w:val="22"/>
          <w:szCs w:val="22"/>
        </w:rPr>
        <w:t xml:space="preserve">starting subframe, </w:t>
      </w:r>
      <w:r>
        <w:rPr>
          <w:b w:val="0"/>
          <w:sz w:val="22"/>
          <w:szCs w:val="22"/>
        </w:rPr>
        <w:t>number of repetitions, TBS) can be obtained via SI.</w:t>
      </w:r>
    </w:p>
    <w:p w14:paraId="32045D92" w14:textId="369EF22A" w:rsidR="00180683" w:rsidRDefault="00180683" w:rsidP="00180683">
      <w:pPr>
        <w:pStyle w:val="LGTdoc1"/>
        <w:spacing w:beforeLines="0" w:before="120" w:after="220" w:afterAutospacing="0"/>
        <w:rPr>
          <w:sz w:val="22"/>
          <w:szCs w:val="22"/>
        </w:rPr>
      </w:pPr>
      <w:r w:rsidRPr="005142E4">
        <w:rPr>
          <w:sz w:val="22"/>
          <w:szCs w:val="22"/>
          <w:u w:val="single"/>
        </w:rPr>
        <w:t xml:space="preserve">Proposal </w:t>
      </w:r>
      <w:r w:rsidR="00113AF5">
        <w:rPr>
          <w:sz w:val="22"/>
          <w:szCs w:val="22"/>
          <w:u w:val="single"/>
        </w:rPr>
        <w:t>4</w:t>
      </w:r>
      <w:r w:rsidRPr="005142E4">
        <w:rPr>
          <w:sz w:val="22"/>
          <w:szCs w:val="22"/>
          <w:u w:val="single"/>
        </w:rPr>
        <w:t>:</w:t>
      </w:r>
      <w:r>
        <w:rPr>
          <w:sz w:val="22"/>
          <w:szCs w:val="22"/>
        </w:rPr>
        <w:t xml:space="preserve"> Introduce control-less transmission for SC-PTM.</w:t>
      </w: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193D2B6D" w14:textId="77777777" w:rsidR="00113AF5" w:rsidRDefault="00113AF5" w:rsidP="00113AF5">
      <w:pPr>
        <w:pStyle w:val="LGTdoc1"/>
        <w:spacing w:beforeLines="0" w:before="120" w:after="220" w:afterAutospacing="0"/>
        <w:rPr>
          <w:sz w:val="22"/>
          <w:szCs w:val="22"/>
        </w:rPr>
      </w:pPr>
      <w:r w:rsidRPr="00C34876">
        <w:rPr>
          <w:sz w:val="22"/>
          <w:szCs w:val="22"/>
          <w:u w:val="single"/>
        </w:rPr>
        <w:t>Proposal 1:</w:t>
      </w:r>
      <w:r>
        <w:rPr>
          <w:sz w:val="22"/>
          <w:szCs w:val="22"/>
        </w:rPr>
        <w:t xml:space="preserve"> Enable idle mode reception of SC-PTM</w:t>
      </w:r>
    </w:p>
    <w:p w14:paraId="5AB7AFDD" w14:textId="77777777" w:rsidR="00113AF5" w:rsidRPr="00C34876" w:rsidRDefault="00113AF5" w:rsidP="00113AF5">
      <w:pPr>
        <w:pStyle w:val="LGTdoc1"/>
        <w:spacing w:beforeLines="0" w:before="120" w:after="220" w:afterAutospacing="0"/>
        <w:rPr>
          <w:sz w:val="22"/>
          <w:szCs w:val="22"/>
        </w:rPr>
      </w:pPr>
      <w:r w:rsidRPr="00C34876">
        <w:rPr>
          <w:sz w:val="22"/>
          <w:szCs w:val="22"/>
          <w:u w:val="single"/>
        </w:rPr>
        <w:t xml:space="preserve">Proposal </w:t>
      </w:r>
      <w:r>
        <w:rPr>
          <w:sz w:val="22"/>
          <w:szCs w:val="22"/>
          <w:u w:val="single"/>
        </w:rPr>
        <w:t>2</w:t>
      </w:r>
      <w:r w:rsidRPr="00C34876">
        <w:rPr>
          <w:sz w:val="22"/>
          <w:szCs w:val="22"/>
          <w:u w:val="single"/>
        </w:rPr>
        <w:t>:</w:t>
      </w:r>
      <w:r>
        <w:rPr>
          <w:sz w:val="22"/>
          <w:szCs w:val="22"/>
        </w:rPr>
        <w:t xml:space="preserve"> Enable SC-PTM reception in non-anchor PRBs</w:t>
      </w:r>
    </w:p>
    <w:p w14:paraId="1A1BA996" w14:textId="77777777" w:rsidR="00113AF5" w:rsidRPr="00C34876" w:rsidRDefault="00113AF5" w:rsidP="00113AF5">
      <w:pPr>
        <w:pStyle w:val="LGTdoc1"/>
        <w:spacing w:beforeLines="0" w:before="120" w:after="220" w:afterAutospacing="0"/>
        <w:rPr>
          <w:sz w:val="22"/>
          <w:szCs w:val="22"/>
        </w:rPr>
      </w:pPr>
      <w:r w:rsidRPr="00C34876">
        <w:rPr>
          <w:sz w:val="22"/>
          <w:szCs w:val="22"/>
          <w:u w:val="single"/>
        </w:rPr>
        <w:lastRenderedPageBreak/>
        <w:t xml:space="preserve">Proposal </w:t>
      </w:r>
      <w:r>
        <w:rPr>
          <w:sz w:val="22"/>
          <w:szCs w:val="22"/>
          <w:u w:val="single"/>
        </w:rPr>
        <w:t>3</w:t>
      </w:r>
      <w:r w:rsidRPr="00C34876">
        <w:rPr>
          <w:sz w:val="22"/>
          <w:szCs w:val="22"/>
          <w:u w:val="single"/>
        </w:rPr>
        <w:t>:</w:t>
      </w:r>
      <w:r>
        <w:rPr>
          <w:sz w:val="22"/>
          <w:szCs w:val="22"/>
        </w:rPr>
        <w:t xml:space="preserve"> Similarly to paging monitoring, a UE is not expected to receive SC-PTM while in connected mode. The eNB should release the connection to enable this monitoring.</w:t>
      </w:r>
    </w:p>
    <w:p w14:paraId="12B3DB5A" w14:textId="77777777" w:rsidR="00113AF5" w:rsidRDefault="00113AF5" w:rsidP="00113AF5">
      <w:pPr>
        <w:pStyle w:val="LGTdoc1"/>
        <w:spacing w:beforeLines="0" w:before="120" w:after="220" w:afterAutospacing="0"/>
        <w:rPr>
          <w:sz w:val="22"/>
          <w:szCs w:val="22"/>
        </w:rPr>
      </w:pPr>
      <w:r w:rsidRPr="005142E4">
        <w:rPr>
          <w:sz w:val="22"/>
          <w:szCs w:val="22"/>
          <w:u w:val="single"/>
        </w:rPr>
        <w:t xml:space="preserve">Proposal </w:t>
      </w:r>
      <w:r>
        <w:rPr>
          <w:sz w:val="22"/>
          <w:szCs w:val="22"/>
          <w:u w:val="single"/>
        </w:rPr>
        <w:t>4</w:t>
      </w:r>
      <w:r w:rsidRPr="005142E4">
        <w:rPr>
          <w:sz w:val="22"/>
          <w:szCs w:val="22"/>
          <w:u w:val="single"/>
        </w:rPr>
        <w:t>:</w:t>
      </w:r>
      <w:r>
        <w:rPr>
          <w:sz w:val="22"/>
          <w:szCs w:val="22"/>
        </w:rPr>
        <w:t xml:space="preserve"> Introduce control-less transmission for SC-PTM.</w:t>
      </w:r>
    </w:p>
    <w:p w14:paraId="5F27E33F" w14:textId="77777777" w:rsidR="00C872FE" w:rsidRDefault="00C872FE" w:rsidP="006F5C8E">
      <w:pPr>
        <w:pStyle w:val="LGTdoc1"/>
        <w:spacing w:beforeLines="0" w:before="120" w:after="220" w:afterAutospacing="0"/>
        <w:rPr>
          <w:b w:val="0"/>
          <w:sz w:val="22"/>
          <w:szCs w:val="22"/>
        </w:rPr>
      </w:pPr>
    </w:p>
    <w:p w14:paraId="18F2BF66" w14:textId="77777777" w:rsidR="00113AF5" w:rsidRPr="00C872FE" w:rsidRDefault="00113AF5"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4E99910"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RP-161324</w:t>
      </w:r>
      <w:r w:rsidRPr="00FF47FD">
        <w:rPr>
          <w:b w:val="0"/>
          <w:sz w:val="22"/>
          <w:szCs w:val="22"/>
        </w:rPr>
        <w:t>, “</w:t>
      </w:r>
      <w:r w:rsidR="0047204B" w:rsidRPr="0047204B">
        <w:rPr>
          <w:b w:val="0"/>
          <w:sz w:val="22"/>
          <w:szCs w:val="22"/>
        </w:rPr>
        <w:t xml:space="preserve">New work item proposal: Enhancements of NB-IoT </w:t>
      </w:r>
      <w:r w:rsidRPr="00FF47FD">
        <w:rPr>
          <w:b w:val="0"/>
          <w:sz w:val="22"/>
          <w:szCs w:val="22"/>
        </w:rPr>
        <w:t>“,</w:t>
      </w:r>
      <w:r w:rsidR="0047204B" w:rsidRPr="0047204B">
        <w:rPr>
          <w:b w:val="0"/>
          <w:sz w:val="22"/>
          <w:szCs w:val="22"/>
        </w:rPr>
        <w:t>Vodafone, Huawei, HiSilicon, Ericsson, Qualcomm</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4DAF2" w14:textId="77777777" w:rsidR="00D82BCF" w:rsidRDefault="00D82BCF">
      <w:r>
        <w:separator/>
      </w:r>
    </w:p>
  </w:endnote>
  <w:endnote w:type="continuationSeparator" w:id="0">
    <w:p w14:paraId="6F349C2F" w14:textId="77777777" w:rsidR="00D82BCF" w:rsidRDefault="00D82BCF">
      <w:r>
        <w:continuationSeparator/>
      </w:r>
    </w:p>
  </w:endnote>
  <w:endnote w:type="continuationNotice" w:id="1">
    <w:p w14:paraId="71F86487" w14:textId="77777777" w:rsidR="00D82BCF" w:rsidRDefault="00D82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225AA">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C1681" w14:textId="77777777" w:rsidR="00D82BCF" w:rsidRDefault="00D82BCF">
      <w:r>
        <w:separator/>
      </w:r>
    </w:p>
  </w:footnote>
  <w:footnote w:type="continuationSeparator" w:id="0">
    <w:p w14:paraId="2D4E32F2" w14:textId="77777777" w:rsidR="00D82BCF" w:rsidRDefault="00D82BCF">
      <w:r>
        <w:continuationSeparator/>
      </w:r>
    </w:p>
  </w:footnote>
  <w:footnote w:type="continuationNotice" w:id="1">
    <w:p w14:paraId="5FE0FCD4" w14:textId="77777777" w:rsidR="00D82BCF" w:rsidRDefault="00D82BC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0"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3"/>
  </w:num>
  <w:num w:numId="3">
    <w:abstractNumId w:val="6"/>
  </w:num>
  <w:num w:numId="4">
    <w:abstractNumId w:val="8"/>
  </w:num>
  <w:num w:numId="5">
    <w:abstractNumId w:val="9"/>
  </w:num>
  <w:num w:numId="6">
    <w:abstractNumId w:val="0"/>
  </w:num>
  <w:num w:numId="7">
    <w:abstractNumId w:val="10"/>
  </w:num>
  <w:num w:numId="8">
    <w:abstractNumId w:val="7"/>
  </w:num>
  <w:num w:numId="9">
    <w:abstractNumId w:val="2"/>
  </w:num>
  <w:num w:numId="10">
    <w:abstractNumId w:val="4"/>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AF5"/>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3"/>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AA"/>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BC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FE30D3F1-E9AB-4C68-B50D-40FAD081A361}">
  <ds:schemaRefs>
    <ds:schemaRef ds:uri="http://schemas.openxmlformats.org/officeDocument/2006/bibliography"/>
  </ds:schemaRefs>
</ds:datastoreItem>
</file>

<file path=customXml/itemProps7.xml><?xml version="1.0" encoding="utf-8"?>
<ds:datastoreItem xmlns:ds="http://schemas.openxmlformats.org/officeDocument/2006/customXml" ds:itemID="{6FCA3119-BB82-467D-B640-3EC5D41FC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3</Pages>
  <Words>687</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29</cp:revision>
  <cp:lastPrinted>2010-08-13T21:54:00Z</cp:lastPrinted>
  <dcterms:created xsi:type="dcterms:W3CDTF">2016-03-22T22:35:00Z</dcterms:created>
  <dcterms:modified xsi:type="dcterms:W3CDTF">2016-08-12T03:36:00Z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